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spacing w:val="3"/>
          <w:sz w:val="44"/>
          <w:szCs w:val="44"/>
          <w:highlight w:val="none"/>
          <w:lang w:val="en-US" w:eastAsia="zh-CN"/>
        </w:rPr>
      </w:pPr>
    </w:p>
    <w:p>
      <w:pPr>
        <w:shd w:val="clear"/>
        <w:tabs>
          <w:tab w:val="left" w:pos="11340"/>
        </w:tabs>
        <w:spacing w:line="600" w:lineRule="exact"/>
        <w:jc w:val="center"/>
        <w:rPr>
          <w:rFonts w:ascii="方正小标宋_GBK" w:hAnsi="华文中宋" w:eastAsia="方正小标宋_GBK"/>
          <w:b/>
          <w:bCs/>
          <w:spacing w:val="3"/>
          <w:sz w:val="44"/>
          <w:szCs w:val="44"/>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spacing w:val="3"/>
          <w:sz w:val="48"/>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网上挂牌</w:t>
      </w:r>
      <w:r>
        <w:rPr>
          <w:rFonts w:hint="eastAsia" w:ascii="方正小标宋_GBK" w:hAnsi="华文中宋" w:eastAsia="方正小标宋_GBK"/>
          <w:b/>
          <w:bCs/>
          <w:sz w:val="44"/>
          <w:szCs w:val="44"/>
          <w:highlight w:val="none"/>
          <w:shd w:val="clear" w:color="auto" w:fill="auto"/>
        </w:rPr>
        <w:t>出让须知</w:t>
      </w:r>
    </w:p>
    <w:p>
      <w:pPr>
        <w:shd w:val="clear"/>
        <w:spacing w:line="600" w:lineRule="exact"/>
        <w:jc w:val="center"/>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惠公易土市直[20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012</w:t>
      </w:r>
      <w:r>
        <w:rPr>
          <w:rFonts w:hint="eastAsia" w:ascii="仿宋_GB2312" w:hAnsi="仿宋_GB2312" w:eastAsia="仿宋_GB2312" w:cs="仿宋_GB2312"/>
          <w:sz w:val="32"/>
          <w:szCs w:val="32"/>
          <w:highlight w:val="none"/>
          <w:shd w:val="clear" w:color="auto" w:fill="auto"/>
        </w:rPr>
        <w:t>号</w:t>
      </w:r>
    </w:p>
    <w:p>
      <w:pPr>
        <w:shd w:val="clear"/>
        <w:rPr>
          <w:rFonts w:ascii="仿宋_GB2312" w:hAnsi="仿宋_GB2312" w:eastAsia="仿宋_GB2312" w:cs="仿宋_GB2312"/>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根据《中华人民共和国土地管理法》、《中华人民共和国城市房地产管理法》、《招标拍卖挂牌出让国有建设用地使用权规定》以及《招标拍卖挂牌出让国有土地使用权规范》等有关规定，经</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人民政府批准，受惠州市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一、本次国有建设用地使用权网上挂牌出让的出让人为惠州市</w:t>
      </w:r>
      <w:r>
        <w:rPr>
          <w:rFonts w:hint="eastAsia" w:ascii="仿宋_GB2312" w:hAnsi="仿宋_GB2312" w:eastAsia="仿宋_GB2312" w:cs="仿宋_GB2312"/>
          <w:b/>
          <w:bCs/>
          <w:sz w:val="32"/>
          <w:szCs w:val="32"/>
          <w:highlight w:val="none"/>
          <w:shd w:val="clear" w:color="auto" w:fill="auto"/>
          <w:lang w:val="en-US" w:eastAsia="zh-CN"/>
        </w:rPr>
        <w:t>惠城区</w:t>
      </w:r>
      <w:r>
        <w:rPr>
          <w:rFonts w:hint="eastAsia" w:ascii="仿宋_GB2312" w:hAnsi="仿宋_GB2312" w:eastAsia="仿宋_GB2312" w:cs="仿宋_GB2312"/>
          <w:b/>
          <w:bCs/>
          <w:sz w:val="32"/>
          <w:szCs w:val="32"/>
          <w:highlight w:val="none"/>
          <w:shd w:val="clear" w:color="auto" w:fill="auto"/>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三、出让地块的基本情况及规划指标要求</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（一）挂牌地块编号：GP20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12</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（二）地块位置：惠城区马安中心区JD26-01-01地块；</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（三）地块编号：JD26-01-01；</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（四）地块范围：平面界址点以宗地图为准，宗地竖向界限以《</w:t>
      </w:r>
      <w:r>
        <w:rPr>
          <w:rFonts w:hint="eastAsia" w:ascii="仿宋_GB2312" w:hAnsi="仿宋_GB2312" w:eastAsia="仿宋_GB2312" w:cs="仿宋_GB2312"/>
          <w:sz w:val="32"/>
          <w:szCs w:val="32"/>
          <w:highlight w:val="none"/>
          <w:shd w:val="clear" w:color="auto" w:fill="auto"/>
          <w:lang w:val="en-US" w:eastAsia="zh-CN"/>
        </w:rPr>
        <w:t>建设用地规划设计条件</w:t>
      </w:r>
      <w:r>
        <w:rPr>
          <w:rFonts w:hint="eastAsia" w:ascii="仿宋_GB2312" w:hAnsi="仿宋_GB2312" w:eastAsia="仿宋_GB2312" w:cs="仿宋_GB2312"/>
          <w:sz w:val="32"/>
          <w:szCs w:val="32"/>
          <w:highlight w:val="none"/>
          <w:shd w:val="clear" w:color="auto" w:fill="auto"/>
        </w:rPr>
        <w:t>》（PB20220006</w:t>
      </w:r>
      <w:r>
        <w:rPr>
          <w:rFonts w:hint="eastAsia" w:ascii="仿宋_GB2312" w:hAnsi="仿宋_GB2312" w:eastAsia="仿宋_GB2312" w:cs="仿宋_GB2312"/>
          <w:sz w:val="32"/>
          <w:szCs w:val="32"/>
          <w:highlight w:val="none"/>
          <w:shd w:val="clear" w:color="auto" w:fill="auto"/>
          <w:lang w:val="en-US" w:eastAsia="zh-CN"/>
        </w:rPr>
        <w:t>号</w:t>
      </w:r>
      <w:r>
        <w:rPr>
          <w:rFonts w:hint="eastAsia" w:ascii="仿宋_GB2312" w:hAnsi="仿宋_GB2312" w:eastAsia="仿宋_GB2312" w:cs="仿宋_GB2312"/>
          <w:sz w:val="32"/>
          <w:szCs w:val="32"/>
          <w:highlight w:val="none"/>
          <w:shd w:val="clear" w:color="auto" w:fill="auto"/>
        </w:rPr>
        <w:t>）规定为准；</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宗地使用权面积为：29924.22平方米；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（六）计算指标用地面积为：35170平方米；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（七）计容积率建筑面积：56272-87925平方米（其中配套设施面积≥130平方米）；</w:t>
      </w:r>
    </w:p>
    <w:p>
      <w:pPr>
        <w:shd w:val="clear"/>
        <w:tabs>
          <w:tab w:val="left" w:pos="3388"/>
        </w:tabs>
        <w:spacing w:line="560" w:lineRule="exact"/>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（八）容积率为：1.6</w:t>
      </w:r>
      <w:r>
        <w:rPr>
          <w:rFonts w:hint="default"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eastAsia="zh-CN"/>
        </w:rPr>
        <w:t>2</w:t>
      </w:r>
      <w:r>
        <w:rPr>
          <w:rFonts w:hint="default"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eastAsia="zh-CN"/>
        </w:rPr>
        <w:t>5；</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（九）建筑密度为：≥30%；</w:t>
      </w:r>
    </w:p>
    <w:p>
      <w:pPr>
        <w:shd w:val="clear"/>
        <w:tabs>
          <w:tab w:val="left" w:pos="3388"/>
        </w:tabs>
        <w:spacing w:line="560" w:lineRule="exact"/>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（十）机动车停车位配建标准：行政办公及生活服务设施每100平方米计容积率建筑面积≥1个，厂房每100平方米计容积率建筑面积≥0.3个。停车场须按不低于总停车位的10%的比例配置充电设施；</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（十一）土地用途为：一类工业用地；</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（十二）土地使用权出让年限为：50年；</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（十三）产业类型：通信设备、计算机及其他电子设备制造业；</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（十四） 动工及竣工时间：该地块动工时间为地块交付之日起一年内，竣工时间为土地交付之日起三年内（因不可抗拒因素除外）；</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（十五）本地块交付时间为《国有土地使用权出让合同》签订之日。 </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四、土地开发及使用规定</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（一）开发投资总额不少于</w:t>
      </w:r>
      <w:r>
        <w:rPr>
          <w:rFonts w:hint="eastAsia" w:ascii="仿宋_GB2312" w:hAnsi="宋体" w:eastAsia="仿宋_GB2312" w:cs="宋体"/>
          <w:color w:val="auto"/>
          <w:kern w:val="0"/>
          <w:sz w:val="32"/>
          <w:szCs w:val="32"/>
          <w:lang w:val="en-US" w:eastAsia="zh-CN"/>
        </w:rPr>
        <w:t>4.32亿</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highlight w:val="none"/>
          <w:shd w:val="clear" w:color="auto" w:fill="auto"/>
        </w:rPr>
        <w:t>（含地价）。</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w:t>
      </w:r>
      <w:r>
        <w:rPr>
          <w:rFonts w:hint="eastAsia" w:ascii="仿宋_GB2312" w:hAnsi="仿宋_GB2312" w:eastAsia="仿宋_GB2312" w:cs="仿宋_GB2312"/>
          <w:sz w:val="32"/>
          <w:szCs w:val="32"/>
          <w:highlight w:val="none"/>
          <w:shd w:val="clear" w:color="auto" w:fill="auto"/>
          <w:lang w:val="en-US" w:eastAsia="zh-CN"/>
        </w:rPr>
        <w:t>竞得人在用地红线内开发建设必须符合城市规划要求，必须按《建设用地规划设计条件》（案卷编号：</w:t>
      </w:r>
      <w:r>
        <w:rPr>
          <w:rFonts w:hint="eastAsia" w:ascii="仿宋_GB2312" w:hAnsi="仿宋_GB2312" w:eastAsia="仿宋_GB2312" w:cs="仿宋_GB2312"/>
          <w:sz w:val="32"/>
          <w:szCs w:val="32"/>
        </w:rPr>
        <w:t>PB202</w:t>
      </w:r>
      <w:r>
        <w:rPr>
          <w:rFonts w:hint="eastAsia" w:ascii="仿宋_GB2312" w:hAnsi="仿宋_GB2312" w:eastAsia="仿宋_GB2312" w:cs="仿宋_GB2312"/>
          <w:sz w:val="32"/>
          <w:szCs w:val="32"/>
          <w:lang w:val="en-US" w:eastAsia="zh-CN"/>
        </w:rPr>
        <w:t>20006</w:t>
      </w:r>
      <w:r>
        <w:rPr>
          <w:rFonts w:hint="eastAsia" w:ascii="仿宋_GB2312" w:hAnsi="仿宋_GB2312" w:eastAsia="仿宋_GB2312" w:cs="仿宋_GB2312"/>
          <w:sz w:val="32"/>
          <w:szCs w:val="32"/>
          <w:highlight w:val="none"/>
          <w:shd w:val="clear" w:color="auto" w:fill="auto"/>
          <w:lang w:val="en-US" w:eastAsia="zh-CN"/>
        </w:rPr>
        <w:t>）的规划控制指标要求及有关规定进行规划设计</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三</w:t>
      </w:r>
      <w:r>
        <w:rPr>
          <w:rFonts w:hint="eastAsia" w:ascii="仿宋_GB2312" w:hAnsi="仿宋_GB2312" w:eastAsia="仿宋_GB2312" w:cs="仿宋_GB2312"/>
          <w:sz w:val="32"/>
          <w:szCs w:val="32"/>
          <w:highlight w:val="none"/>
          <w:shd w:val="clear" w:color="auto" w:fill="auto"/>
        </w:rPr>
        <w:t>）土地成交价款须以人民币支付,竞得人在签订《出让合同》之日起30日内付清全部成交价款。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color w:val="auto"/>
          <w:sz w:val="32"/>
          <w:szCs w:val="32"/>
          <w:lang w:eastAsia="zh-CN"/>
        </w:rPr>
        <w:t>项目规划建设方案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所报总平面图的主要技术经济指标：</w:t>
      </w:r>
      <w:r>
        <w:rPr>
          <w:rFonts w:hint="eastAsia" w:ascii="仿宋_GB2312" w:hAnsi="宋体" w:eastAsia="仿宋_GB2312" w:cs="宋体"/>
          <w:color w:val="auto"/>
          <w:kern w:val="0"/>
          <w:sz w:val="32"/>
          <w:szCs w:val="32"/>
          <w:lang w:val="en-US" w:eastAsia="zh-CN"/>
        </w:rPr>
        <w:t>规划布局9栋厂房、1栋宿舍、3个门卫室、1个发配电房，计算指标用地面积35170平方米，建筑层数地上最高8层，地下1层，建筑高度最高44.9米，计容积率总建筑面积87833.86平方米（行政办公及生活服务设施占地面积占比3%，计容占比6.6%），容积率2.5，建筑密度36.09%，绿地率15%，机动车停车位304个（全部为地面），非机动车停车位455个。应建防空地下室246平方米，因宿舍层数最高7层，基础埋深小于3米，建设单位同时申请易地人防建设。该项目分两期建设，其中一期（厂房5-9、宿舍、发配电房、门卫1、地下室）主要技术经济指标：计容积率建筑面积49349.13平方米；二期（厂房1-4、门卫室2-3）主要技术经济指标：计容积率建筑面积38484.73平方米。 各项指标满足《建设用地规划设计条件》（PB20220006）要求，须按程序进行公示，公示期未收到公众意见后则同意所报总平面图及单体建筑设计方案。排水须采用雨、污分流制，并预留市政管线接驳口，建筑设计须符合国家、省、市有关绿色建筑和建筑节能方面的技术规范和标准，须按海绵城市设计要求做好设计及施工。</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招商条件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投资强度不低于</w:t>
      </w:r>
      <w:r>
        <w:rPr>
          <w:rFonts w:hint="eastAsia" w:ascii="仿宋_GB2312" w:hAnsi="宋体" w:eastAsia="仿宋_GB2312" w:cs="宋体"/>
          <w:color w:val="auto"/>
          <w:kern w:val="0"/>
          <w:sz w:val="32"/>
          <w:szCs w:val="32"/>
          <w:lang w:val="en-US" w:eastAsia="zh-CN"/>
        </w:rPr>
        <w:t>12285元</w:t>
      </w:r>
      <w:r>
        <w:rPr>
          <w:rFonts w:hint="eastAsia" w:ascii="仿宋_GB2312" w:hAnsi="宋体" w:eastAsia="仿宋_GB2312" w:cs="宋体"/>
          <w:color w:val="auto"/>
          <w:kern w:val="0"/>
          <w:sz w:val="32"/>
          <w:szCs w:val="32"/>
          <w:lang w:eastAsia="zh-CN"/>
        </w:rPr>
        <w:t>/平方米，土地产出率（工业产值）不低于</w:t>
      </w:r>
      <w:r>
        <w:rPr>
          <w:rFonts w:hint="eastAsia" w:ascii="仿宋_GB2312" w:hAnsi="宋体" w:eastAsia="仿宋_GB2312" w:cs="宋体"/>
          <w:color w:val="auto"/>
          <w:kern w:val="0"/>
          <w:sz w:val="32"/>
          <w:szCs w:val="32"/>
          <w:lang w:val="en-US" w:eastAsia="zh-CN"/>
        </w:rPr>
        <w:t>19428</w:t>
      </w:r>
      <w:r>
        <w:rPr>
          <w:rFonts w:hint="eastAsia" w:ascii="仿宋_GB2312" w:hAnsi="宋体" w:eastAsia="仿宋_GB2312" w:cs="宋体"/>
          <w:color w:val="auto"/>
          <w:kern w:val="0"/>
          <w:sz w:val="32"/>
          <w:szCs w:val="32"/>
          <w:lang w:eastAsia="zh-CN"/>
        </w:rPr>
        <w:t>元/平方米/年，税收产出不低于</w:t>
      </w:r>
      <w:r>
        <w:rPr>
          <w:rFonts w:hint="eastAsia" w:ascii="仿宋_GB2312" w:hAnsi="宋体" w:eastAsia="仿宋_GB2312" w:cs="宋体"/>
          <w:color w:val="auto"/>
          <w:kern w:val="0"/>
          <w:sz w:val="32"/>
          <w:szCs w:val="32"/>
          <w:lang w:val="en-US" w:eastAsia="zh-CN"/>
        </w:rPr>
        <w:t>900</w:t>
      </w:r>
      <w:r>
        <w:rPr>
          <w:rFonts w:hint="eastAsia" w:ascii="仿宋_GB2312" w:hAnsi="宋体" w:eastAsia="仿宋_GB2312" w:cs="宋体"/>
          <w:color w:val="auto"/>
          <w:kern w:val="0"/>
          <w:sz w:val="32"/>
          <w:szCs w:val="32"/>
          <w:lang w:eastAsia="zh-CN"/>
        </w:rPr>
        <w:t>元/平方米/年。其中，土地产出率及税收产出，在项目投产后</w:t>
      </w:r>
      <w:r>
        <w:rPr>
          <w:rFonts w:hint="eastAsia" w:ascii="仿宋_GB2312" w:hAnsi="宋体" w:eastAsia="仿宋_GB2312" w:cs="宋体"/>
          <w:color w:val="auto"/>
          <w:kern w:val="0"/>
          <w:sz w:val="32"/>
          <w:szCs w:val="32"/>
          <w:lang w:val="en-US" w:eastAsia="zh-CN"/>
        </w:rPr>
        <w:t>3年内逐年</w:t>
      </w:r>
      <w:r>
        <w:rPr>
          <w:rFonts w:hint="eastAsia" w:ascii="仿宋_GB2312" w:hAnsi="宋体" w:eastAsia="仿宋_GB2312" w:cs="宋体"/>
          <w:color w:val="auto"/>
          <w:kern w:val="0"/>
          <w:sz w:val="32"/>
          <w:szCs w:val="32"/>
          <w:lang w:eastAsia="zh-CN"/>
        </w:rPr>
        <w:t>考核，</w:t>
      </w:r>
      <w:r>
        <w:rPr>
          <w:rFonts w:hint="eastAsia" w:ascii="仿宋_GB2312" w:hAnsi="宋体" w:eastAsia="仿宋_GB2312" w:cs="宋体"/>
          <w:color w:val="auto"/>
          <w:kern w:val="0"/>
          <w:sz w:val="32"/>
          <w:szCs w:val="32"/>
          <w:lang w:val="en-US" w:eastAsia="zh-CN"/>
        </w:rPr>
        <w:t>3年内的</w:t>
      </w:r>
      <w:r>
        <w:rPr>
          <w:rFonts w:hint="eastAsia" w:ascii="仿宋_GB2312" w:hAnsi="宋体" w:eastAsia="仿宋_GB2312" w:cs="宋体"/>
          <w:color w:val="auto"/>
          <w:kern w:val="0"/>
          <w:sz w:val="32"/>
          <w:szCs w:val="32"/>
          <w:lang w:eastAsia="zh-CN"/>
        </w:rPr>
        <w:t>平均值不得低于上述标准。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宋体" w:eastAsia="仿宋_GB2312" w:cs="宋体"/>
          <w:color w:val="auto"/>
          <w:kern w:val="0"/>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w:t>
      </w:r>
      <w:r>
        <w:rPr>
          <w:rFonts w:hint="eastAsia" w:ascii="仿宋_GB2312" w:hAnsi="仿宋_GB2312" w:eastAsia="仿宋_GB2312" w:cs="仿宋_GB2312"/>
          <w:b w:val="0"/>
          <w:bCs w:val="0"/>
          <w:color w:val="000000"/>
          <w:kern w:val="0"/>
          <w:sz w:val="32"/>
          <w:szCs w:val="32"/>
          <w:lang w:val="en-US" w:eastAsia="zh-CN"/>
        </w:rPr>
        <w:t>,乙方须向惠州市惠城区马安镇人民政府提交项目投资计划书和时间安排表，并按月向惠州市惠城区马安镇人民政府书面报告项目进展情况，直至项目投产。</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ascii="仿宋_GB2312" w:hAnsi="仿宋_GB2312" w:eastAsia="仿宋_GB2312" w:cs="仿宋_GB2312"/>
          <w:b w:val="0"/>
          <w:bCs w:val="0"/>
          <w:color w:val="000000"/>
          <w:kern w:val="0"/>
          <w:sz w:val="32"/>
          <w:szCs w:val="32"/>
          <w:lang w:val="en-US" w:eastAsia="zh-CN"/>
        </w:rPr>
        <w:t>竞得人需与惠州市惠城区马安镇人民政府签订《项目实施监管协议书》并完成监管协议公证手续。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）竞得人在签订《成交确认书》前，须与</w:t>
      </w:r>
      <w:r>
        <w:rPr>
          <w:rFonts w:hint="eastAsia" w:ascii="仿宋_GB2312" w:hAnsi="仿宋_GB2312" w:eastAsia="仿宋_GB2312" w:cs="仿宋_GB2312"/>
          <w:b w:val="0"/>
          <w:bCs w:val="0"/>
          <w:color w:val="000000"/>
          <w:kern w:val="0"/>
          <w:sz w:val="32"/>
          <w:szCs w:val="32"/>
          <w:lang w:val="en-US" w:eastAsia="zh-CN"/>
        </w:rPr>
        <w:t>惠州市惠城区马安镇人民政府</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w:t>
      </w:r>
      <w:r>
        <w:rPr>
          <w:rFonts w:hint="eastAsia" w:ascii="仿宋_GB2312" w:hAnsi="仿宋_GB2312" w:eastAsia="仿宋_GB2312" w:cs="仿宋_GB2312"/>
          <w:b w:val="0"/>
          <w:bCs w:val="0"/>
          <w:color w:val="000000"/>
          <w:kern w:val="0"/>
          <w:sz w:val="32"/>
          <w:szCs w:val="32"/>
          <w:lang w:val="en-US" w:eastAsia="zh-CN"/>
        </w:rPr>
        <w:t>惠州市惠城区马安镇人民政府</w:t>
      </w:r>
      <w:r>
        <w:rPr>
          <w:rFonts w:hint="eastAsia" w:ascii="仿宋_GB2312" w:hAnsi="仿宋_GB2312" w:eastAsia="仿宋_GB2312" w:cs="仿宋_GB2312"/>
          <w:color w:val="auto"/>
          <w:sz w:val="32"/>
          <w:szCs w:val="32"/>
        </w:rPr>
        <w:t>对项目用地实施批后监管。</w:t>
      </w:r>
    </w:p>
    <w:p>
      <w:pPr>
        <w:shd w:val="clear"/>
        <w:tabs>
          <w:tab w:val="left" w:pos="3388"/>
        </w:tabs>
        <w:spacing w:line="560" w:lineRule="exact"/>
        <w:jc w:val="left"/>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b/>
          <w:bCs/>
          <w:kern w:val="2"/>
          <w:sz w:val="32"/>
          <w:szCs w:val="32"/>
          <w:highlight w:val="none"/>
          <w:shd w:val="clear" w:color="auto" w:fill="auto"/>
          <w:lang w:val="en-US" w:eastAsia="zh-CN" w:bidi="ar-SA"/>
        </w:rPr>
        <w:t>五、竞买资格及要求</w:t>
      </w:r>
    </w:p>
    <w:p>
      <w:pPr>
        <w:shd w:val="clear"/>
        <w:tabs>
          <w:tab w:val="left" w:pos="3388"/>
        </w:tabs>
        <w:spacing w:line="560" w:lineRule="exact"/>
        <w:ind w:firstLine="640" w:firstLineChars="200"/>
        <w:jc w:val="left"/>
        <w:rPr>
          <w:rFonts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中华人民共和国境内外的法人和其他组织（除法律法规另有规定外），均可申请参加竞买。申请人可以单独申请，也可以联合申请。申请人还应具备下列条件：</w:t>
      </w:r>
    </w:p>
    <w:p>
      <w:pPr>
        <w:shd w:val="clea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lang w:val="en-US" w:eastAsia="zh-CN"/>
        </w:rPr>
        <w:t>一</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按时足额交纳竞买保证金</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竞买人缴交的竞买保证金为人民币</w:t>
      </w:r>
      <w:r>
        <w:rPr>
          <w:rFonts w:hint="eastAsia" w:ascii="仿宋_GB2312" w:hAnsi="仿宋_GB2312" w:eastAsia="仿宋_GB2312" w:cs="仿宋_GB2312"/>
          <w:kern w:val="0"/>
          <w:sz w:val="32"/>
          <w:szCs w:val="32"/>
          <w:highlight w:val="none"/>
          <w:shd w:val="clear" w:color="auto" w:fill="auto"/>
          <w:lang w:val="en-US" w:eastAsia="zh-CN"/>
        </w:rPr>
        <w:t>1065</w:t>
      </w:r>
      <w:r>
        <w:rPr>
          <w:rFonts w:hint="eastAsia" w:ascii="仿宋_GB2312" w:hAnsi="仿宋_GB2312" w:eastAsia="仿宋_GB2312" w:cs="仿宋_GB2312"/>
          <w:kern w:val="0"/>
          <w:sz w:val="32"/>
          <w:szCs w:val="32"/>
          <w:highlight w:val="none"/>
          <w:shd w:val="clear" w:color="auto" w:fill="auto"/>
        </w:rPr>
        <w:t>万元。</w:t>
      </w:r>
    </w:p>
    <w:p>
      <w:pPr>
        <w:shd w:val="clea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lang w:val="en-US" w:eastAsia="zh-CN"/>
        </w:rPr>
        <w:t>（二）</w:t>
      </w:r>
      <w:r>
        <w:rPr>
          <w:rFonts w:hint="eastAsia" w:ascii="仿宋_GB2312" w:hAnsi="仿宋_GB2312" w:eastAsia="仿宋_GB2312" w:cs="仿宋_GB2312"/>
          <w:sz w:val="32"/>
          <w:szCs w:val="32"/>
        </w:rPr>
        <w:t>竞买人须提交</w:t>
      </w:r>
      <w:r>
        <w:rPr>
          <w:rFonts w:hint="eastAsia" w:ascii="仿宋_GB2312" w:hAnsi="仿宋_GB2312" w:eastAsia="仿宋_GB2312" w:cs="仿宋_GB2312"/>
          <w:sz w:val="32"/>
          <w:szCs w:val="32"/>
          <w:lang w:val="en-US" w:eastAsia="zh-CN"/>
        </w:rPr>
        <w:t>惠城区发改局</w:t>
      </w:r>
      <w:r>
        <w:rPr>
          <w:rFonts w:hint="eastAsia" w:ascii="仿宋_GB2312" w:hAnsi="仿宋_GB2312" w:eastAsia="仿宋_GB2312" w:cs="仿宋_GB2312"/>
          <w:sz w:val="32"/>
          <w:szCs w:val="32"/>
        </w:rPr>
        <w:t>出具的与该宗地块产业类型一致的优先发展产业项目文件</w:t>
      </w:r>
      <w:r>
        <w:rPr>
          <w:rFonts w:hint="eastAsia" w:ascii="仿宋_GB2312" w:hAnsi="仿宋_GB2312" w:eastAsia="仿宋_GB2312" w:cs="仿宋_GB2312"/>
          <w:kern w:val="0"/>
          <w:sz w:val="32"/>
          <w:szCs w:val="32"/>
          <w:highlight w:val="none"/>
          <w:shd w:val="clear" w:color="auto" w:fill="auto"/>
          <w:lang w:val="en-US"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w:t>
      </w:r>
      <w:r>
        <w:rPr>
          <w:rFonts w:hint="eastAsia" w:ascii="仿宋_GB2312" w:hAnsi="仿宋_GB2312" w:eastAsia="仿宋_GB2312" w:cs="仿宋_GB2312"/>
          <w:kern w:val="0"/>
          <w:sz w:val="32"/>
          <w:szCs w:val="32"/>
          <w:highlight w:val="none"/>
          <w:shd w:val="clear" w:color="auto" w:fill="auto"/>
          <w:lang w:val="en-US" w:eastAsia="zh-CN"/>
        </w:rPr>
        <w:t>三</w:t>
      </w:r>
      <w:r>
        <w:rPr>
          <w:rFonts w:hint="eastAsia" w:ascii="仿宋_GB2312" w:hAnsi="仿宋_GB2312" w:eastAsia="仿宋_GB2312" w:cs="仿宋_GB2312"/>
          <w:kern w:val="0"/>
          <w:sz w:val="32"/>
          <w:szCs w:val="32"/>
          <w:highlight w:val="none"/>
          <w:shd w:val="clear" w:color="auto" w:fill="auto"/>
        </w:rPr>
        <w:t>）预先办理数字证书。本次国有建设用地使用权网上挂牌出让只能在互联网上，通过惠州市公共资源交易</w:t>
      </w:r>
      <w:r>
        <w:rPr>
          <w:rFonts w:hint="eastAsia" w:ascii="仿宋_GB2312" w:hAnsi="仿宋_GB2312" w:eastAsia="仿宋_GB2312" w:cs="仿宋_GB2312"/>
          <w:sz w:val="32"/>
          <w:szCs w:val="32"/>
          <w:highlight w:val="none"/>
          <w:shd w:val="clear" w:color="auto" w:fill="auto"/>
        </w:rPr>
        <w:t>中心土地与矿业网上挂牌交易系统（</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，以下简称“网上挂牌交易系统”）进行。只有通过网上注册、办理数字证书、按要求足额交付竞买保证金的申请人，才能参加网上挂牌交易活动。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lang w:val="en-US" w:eastAsia="zh-CN" w:bidi="ar-SA"/>
        </w:rPr>
        <w:t>存在下列违法违规违约行为之一的企业及其控股股东，不得参与竞买上述地块</w:t>
      </w:r>
      <w:r>
        <w:rPr>
          <w:rFonts w:hint="eastAsia" w:ascii="仿宋_GB2312" w:hAnsi="仿宋_GB2312" w:eastAsia="仿宋_GB2312" w:cs="仿宋_GB2312"/>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 w:cs="宋体"/>
          <w:color w:val="auto"/>
          <w:kern w:val="0"/>
          <w:sz w:val="32"/>
          <w:szCs w:val="32"/>
          <w:highlight w:val="none"/>
          <w:shd w:val="clear" w:color="auto" w:fill="auto"/>
          <w:lang w:val="en-US" w:eastAsia="zh-CN" w:bidi="ar-SA"/>
        </w:rPr>
      </w:pPr>
      <w:r>
        <w:rPr>
          <w:rFonts w:hint="eastAsia" w:ascii="仿宋" w:hAnsi="仿宋" w:eastAsia="仿宋"/>
          <w:sz w:val="32"/>
          <w:szCs w:val="32"/>
          <w:lang w:val="en-US" w:eastAsia="zh-CN"/>
        </w:rPr>
        <w:t>5.至报名日仍</w:t>
      </w:r>
      <w:r>
        <w:rPr>
          <w:rFonts w:hint="eastAsia" w:ascii="仿宋" w:hAnsi="仿宋" w:eastAsia="仿宋"/>
          <w:sz w:val="32"/>
          <w:szCs w:val="32"/>
        </w:rPr>
        <w:t>拖欠政府地价款的</w:t>
      </w:r>
      <w:r>
        <w:rPr>
          <w:rFonts w:hint="eastAsia" w:ascii="仿宋" w:hAnsi="仿宋" w:eastAsia="仿宋"/>
          <w:sz w:val="32"/>
          <w:szCs w:val="32"/>
          <w:lang w:eastAsia="zh-CN"/>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六、违约及处理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竞得人有下列行为之一的，视为违约，取消竞得人资格，</w:t>
      </w:r>
      <w:r>
        <w:rPr>
          <w:rFonts w:hint="eastAsia" w:ascii="仿宋_GB2312" w:hAnsi="仿宋_GB2312" w:eastAsia="仿宋_GB2312" w:cs="仿宋_GB2312"/>
          <w:sz w:val="32"/>
          <w:szCs w:val="32"/>
          <w:highlight w:val="none"/>
          <w:shd w:val="clear" w:color="auto" w:fill="auto"/>
          <w:lang w:val="en-US" w:eastAsia="zh-CN"/>
        </w:rPr>
        <w:t>定金不予退还,</w:t>
      </w:r>
      <w:r>
        <w:rPr>
          <w:rFonts w:hint="eastAsia" w:ascii="仿宋_GB2312" w:hAnsi="仿宋_GB2312" w:eastAsia="仿宋_GB2312" w:cs="仿宋_GB2312"/>
          <w:sz w:val="32"/>
          <w:szCs w:val="32"/>
          <w:highlight w:val="none"/>
          <w:shd w:val="clear" w:color="auto" w:fill="auto"/>
        </w:rPr>
        <w:t>并由有关部门依法处理;造成损失的，竞得人还应依法承担赔偿责任：</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（一）不符合竞买资格条件的。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（二）采取行贿、恶意串通等非法手段竞得的。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（三）竞得人以其他非法手段竞得的。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（四）竞得人逾期或拒绝签订《成交确认书》的。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（五）竞得人逾期或拒绝签订《出让合同》的。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（六）不按本须知规定提供有关纸质文件材料，或提供虚假文件材料、隐瞒重要事实，引起交易纠纷的。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（七）构成违约责任的其他行为。</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七、网上挂牌出让地块的起始价、增加幅度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挂牌起始价为人民币</w:t>
      </w:r>
      <w:r>
        <w:rPr>
          <w:rFonts w:hint="eastAsia" w:ascii="仿宋_GB2312" w:hAnsi="仿宋_GB2312" w:eastAsia="仿宋_GB2312" w:cs="仿宋_GB2312"/>
          <w:color w:val="auto"/>
          <w:sz w:val="32"/>
          <w:szCs w:val="32"/>
          <w:highlight w:val="none"/>
          <w:u w:val="single"/>
          <w:shd w:val="clear" w:color="auto" w:fill="auto"/>
          <w:lang w:val="en-US" w:eastAsia="zh-CN"/>
        </w:rPr>
        <w:t>叁仟伍佰伍拾万元整</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3550</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）,增价幅度为人民币</w:t>
      </w:r>
      <w:r>
        <w:rPr>
          <w:rFonts w:hint="eastAsia" w:ascii="仿宋_GB2312" w:hAnsi="仿宋_GB2312" w:eastAsia="仿宋_GB2312" w:cs="仿宋_GB2312"/>
          <w:color w:val="auto"/>
          <w:sz w:val="32"/>
          <w:szCs w:val="32"/>
          <w:highlight w:val="none"/>
          <w:u w:val="single"/>
          <w:shd w:val="clear" w:color="auto" w:fill="auto"/>
          <w:lang w:val="en-US" w:eastAsia="zh-CN"/>
        </w:rPr>
        <w:t>伍拾</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5</w:t>
      </w:r>
      <w:r>
        <w:rPr>
          <w:rFonts w:hint="eastAsia" w:ascii="仿宋_GB2312" w:hAnsi="仿宋_GB2312" w:eastAsia="仿宋_GB2312" w:cs="仿宋_GB2312"/>
          <w:color w:val="auto"/>
          <w:sz w:val="32"/>
          <w:szCs w:val="32"/>
          <w:highlight w:val="none"/>
          <w:u w:val="single"/>
          <w:shd w:val="clear" w:color="auto" w:fill="auto"/>
        </w:rPr>
        <w:t>0</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3" w:name="104"/>
      <w:r>
        <w:rPr>
          <w:rFonts w:hint="eastAsia" w:ascii="仿宋_GB2312" w:hAnsi="仿宋_GB2312" w:eastAsia="仿宋_GB2312" w:cs="仿宋_GB2312"/>
          <w:b/>
          <w:bCs/>
          <w:sz w:val="32"/>
          <w:szCs w:val="32"/>
          <w:highlight w:val="none"/>
          <w:shd w:val="clear" w:color="auto" w:fill="auto"/>
        </w:rPr>
        <w:t>八、</w:t>
      </w:r>
      <w:bookmarkEnd w:id="3"/>
      <w:r>
        <w:rPr>
          <w:rFonts w:hint="eastAsia" w:ascii="仿宋_GB2312" w:hAnsi="仿宋_GB2312" w:eastAsia="仿宋_GB2312" w:cs="仿宋_GB2312"/>
          <w:b/>
          <w:bCs/>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（一）网上挂牌起始时间：</w:t>
      </w:r>
      <w:r>
        <w:rPr>
          <w:rFonts w:hint="eastAsia" w:ascii="仿宋_GB2312" w:hAnsi="仿宋_GB2312" w:eastAsia="仿宋_GB2312" w:cs="仿宋_GB2312"/>
          <w:sz w:val="32"/>
          <w:szCs w:val="32"/>
          <w:highlight w:val="none"/>
          <w:shd w:val="clear" w:color="auto" w:fill="auto"/>
          <w:lang w:val="en-US" w:eastAsia="zh-CN"/>
        </w:rPr>
        <w:t>2022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6月6</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（二）网上挂牌截止时间：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10时。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（三）网上挂牌交纳保证金截止时间：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建设用地规划设计条件</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rPr>
        <w:t>PB202</w:t>
      </w:r>
      <w:r>
        <w:rPr>
          <w:rFonts w:hint="eastAsia" w:ascii="仿宋_GB2312" w:hAnsi="仿宋_GB2312" w:eastAsia="仿宋_GB2312" w:cs="仿宋_GB2312"/>
          <w:sz w:val="32"/>
          <w:szCs w:val="32"/>
          <w:lang w:val="en-US" w:eastAsia="zh-CN"/>
        </w:rPr>
        <w:t>20006</w:t>
      </w:r>
      <w:r>
        <w:rPr>
          <w:rFonts w:hint="eastAsia" w:ascii="仿宋_GB2312" w:hAnsi="仿宋_GB2312" w:eastAsia="仿宋_GB2312" w:cs="仿宋_GB2312"/>
          <w:sz w:val="32"/>
          <w:szCs w:val="32"/>
          <w:highlight w:val="none"/>
          <w:shd w:val="clear" w:color="auto" w:fill="auto"/>
          <w:lang w:val="en-US" w:eastAsia="zh-CN"/>
        </w:rPr>
        <w:t>号</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惠州市</w:t>
      </w:r>
      <w:r>
        <w:rPr>
          <w:rFonts w:hint="eastAsia" w:ascii="仿宋_GB2312" w:hAnsi="仿宋_GB2312" w:eastAsia="仿宋_GB2312" w:cs="仿宋_GB2312"/>
          <w:sz w:val="32"/>
          <w:szCs w:val="32"/>
          <w:highlight w:val="none"/>
          <w:shd w:val="clear" w:color="auto" w:fill="auto"/>
          <w:lang w:val="en-US" w:eastAsia="zh-CN"/>
        </w:rPr>
        <w:t>国有建设用地使用权电子挂牌</w:t>
      </w:r>
      <w:r>
        <w:rPr>
          <w:rFonts w:hint="eastAsia" w:ascii="仿宋_GB2312" w:hAnsi="仿宋_GB2312" w:eastAsia="仿宋_GB2312" w:cs="仿宋_GB2312"/>
          <w:sz w:val="32"/>
          <w:szCs w:val="32"/>
          <w:highlight w:val="none"/>
          <w:shd w:val="clear" w:color="auto" w:fill="auto"/>
        </w:rPr>
        <w:t>交易成交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（以下简称“成交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书”）样本；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《国有建设用地使用权出让合同》（以下简称“出让合同”）样本；</w:t>
      </w:r>
    </w:p>
    <w:p>
      <w:pPr>
        <w:pStyle w:val="2"/>
        <w:shd w:val="clear"/>
        <w:rPr>
          <w:rFonts w:hint="default"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val="en-US" w:eastAsia="zh-CN"/>
        </w:rPr>
        <w:t xml:space="preserve"> 8、</w:t>
      </w:r>
      <w:r>
        <w:rPr>
          <w:rFonts w:hint="eastAsia" w:ascii="仿宋_GB2312" w:hAnsi="仿宋_GB2312" w:eastAsia="仿宋_GB2312" w:cs="仿宋_GB2312"/>
          <w:kern w:val="2"/>
          <w:sz w:val="32"/>
          <w:szCs w:val="32"/>
          <w:highlight w:val="none"/>
          <w:shd w:val="clear" w:color="auto" w:fill="auto"/>
          <w:lang w:val="en-US" w:eastAsia="zh-CN" w:bidi="ar-SA"/>
        </w:rPr>
        <w:t>《项目实施监管协议书》</w:t>
      </w:r>
    </w:p>
    <w:p>
      <w:pPr>
        <w:shd w:val="clear"/>
        <w:tabs>
          <w:tab w:val="left" w:pos="3388"/>
        </w:tabs>
        <w:spacing w:line="560" w:lineRule="exact"/>
        <w:ind w:left="0" w:leftChars="0"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9、其他相关文件</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sz w:val="32"/>
          <w:szCs w:val="32"/>
          <w:highlight w:val="none"/>
          <w:shd w:val="clear" w:color="auto" w:fill="auto"/>
        </w:rPr>
        <w:t>，电话：0752-</w:t>
      </w:r>
      <w:r>
        <w:rPr>
          <w:rFonts w:hint="eastAsia" w:ascii="仿宋_GB2312" w:hAnsi="仿宋_GB2312" w:eastAsia="仿宋_GB2312" w:cs="仿宋_GB2312"/>
          <w:sz w:val="32"/>
          <w:szCs w:val="32"/>
          <w:highlight w:val="none"/>
          <w:shd w:val="clear" w:color="auto" w:fill="auto"/>
          <w:lang w:val="en-US" w:eastAsia="zh-CN"/>
        </w:rPr>
        <w:t>7121029</w:t>
      </w:r>
      <w:r>
        <w:rPr>
          <w:rFonts w:hint="eastAsia" w:ascii="仿宋_GB2312" w:hAnsi="仿宋_GB2312" w:eastAsia="仿宋_GB2312" w:cs="仿宋_GB2312"/>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4" w:name="103"/>
      <w:bookmarkEnd w:id="4"/>
      <w:r>
        <w:rPr>
          <w:rFonts w:hint="eastAsia" w:ascii="仿宋_GB2312" w:hAnsi="仿宋_GB2312" w:eastAsia="仿宋_GB2312" w:cs="仿宋_GB2312"/>
          <w:b/>
          <w:bCs/>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（二）本宗地竞买保证金到账截止时间为</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 xml:space="preserve"> 20</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9时整，竞买保证金为人民币</w:t>
      </w:r>
      <w:r>
        <w:rPr>
          <w:rFonts w:hint="eastAsia" w:ascii="仿宋_GB2312" w:hAnsi="仿宋_GB2312" w:eastAsia="仿宋_GB2312" w:cs="仿宋_GB2312"/>
          <w:sz w:val="32"/>
          <w:szCs w:val="32"/>
          <w:highlight w:val="none"/>
          <w:u w:val="single"/>
          <w:shd w:val="clear" w:color="auto" w:fill="auto"/>
          <w:lang w:val="en-US" w:eastAsia="zh-CN"/>
        </w:rPr>
        <w:t>壹仟零陆拾伍万元整</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u w:val="single"/>
          <w:shd w:val="clear" w:color="auto" w:fill="auto"/>
          <w:lang w:val="en-US" w:eastAsia="zh-CN"/>
        </w:rPr>
        <w:t>1065</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（三）竞买人应当提前交纳竞买保证金以确保在到账截止时间前到账，超过到账截止时间的保证金，网上挂牌交易系统将不予受理，造成的损失由竞买人自行承担。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中信银行股份有限公司惠州分行。</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5" w:name="107"/>
      <w:r>
        <w:rPr>
          <w:rFonts w:hint="eastAsia" w:ascii="仿宋_GB2312" w:hAnsi="仿宋_GB2312" w:eastAsia="仿宋_GB2312" w:cs="仿宋_GB2312"/>
          <w:b/>
          <w:bCs/>
          <w:sz w:val="32"/>
          <w:szCs w:val="32"/>
          <w:highlight w:val="none"/>
          <w:shd w:val="clear" w:color="auto" w:fill="auto"/>
        </w:rPr>
        <w:t>十三、</w:t>
      </w:r>
      <w:bookmarkEnd w:id="5"/>
      <w:r>
        <w:rPr>
          <w:rFonts w:hint="eastAsia" w:ascii="仿宋_GB2312" w:hAnsi="仿宋_GB2312" w:eastAsia="仿宋_GB2312" w:cs="仿宋_GB2312"/>
          <w:b/>
          <w:bCs/>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土地与矿业交易系统竞买人操作视频</w:t>
      </w:r>
      <w:r>
        <w:rPr>
          <w:rFonts w:hint="eastAsia" w:ascii="仿宋_GB2312" w:hAnsi="仿宋_GB2312" w:eastAsia="仿宋_GB2312" w:cs="仿宋_GB2312"/>
          <w:sz w:val="32"/>
          <w:szCs w:val="32"/>
          <w:highlight w:val="none"/>
          <w:shd w:val="clear" w:color="auto" w:fill="auto"/>
          <w:lang w:val="en-US" w:eastAsia="zh-CN"/>
        </w:rPr>
        <w:t>可在</w:t>
      </w:r>
      <w:r>
        <w:rPr>
          <w:rFonts w:hint="eastAsia" w:ascii="仿宋_GB2312" w:hAnsi="仿宋_GB2312" w:eastAsia="仿宋_GB2312" w:cs="仿宋_GB2312"/>
          <w:sz w:val="32"/>
          <w:szCs w:val="32"/>
          <w:highlight w:val="none"/>
          <w:shd w:val="clear" w:color="auto" w:fill="auto"/>
        </w:rPr>
        <w:t>本中心网上挂牌交易系</w:t>
      </w:r>
      <w:r>
        <w:rPr>
          <w:rFonts w:hint="eastAsia" w:ascii="仿宋_GB2312" w:hAnsi="仿宋_GB2312" w:eastAsia="仿宋_GB2312" w:cs="仿宋_GB2312"/>
          <w:sz w:val="32"/>
          <w:szCs w:val="32"/>
          <w:highlight w:val="none"/>
          <w:shd w:val="clear" w:color="auto" w:fill="auto"/>
          <w:lang w:val="en-US" w:eastAsia="zh-CN"/>
        </w:rPr>
        <w:t>统</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十五、</w:t>
      </w:r>
      <w:bookmarkEnd w:id="6"/>
      <w:r>
        <w:rPr>
          <w:rFonts w:hint="eastAsia" w:ascii="仿宋_GB2312" w:hAnsi="仿宋_GB2312" w:eastAsia="仿宋_GB2312" w:cs="仿宋_GB2312"/>
          <w:b/>
          <w:bCs/>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sz w:val="32"/>
          <w:szCs w:val="32"/>
          <w:highlight w:val="none"/>
          <w:shd w:val="clear" w:color="auto" w:fill="auto"/>
          <w:lang w:val="en-US" w:eastAsia="zh-CN"/>
        </w:rPr>
        <w:t>录</w:t>
      </w:r>
      <w:r>
        <w:rPr>
          <w:rFonts w:hint="eastAsia" w:ascii="仿宋_GB2312" w:hAnsi="仿宋_GB2312" w:eastAsia="仿宋_GB2312" w:cs="仿宋_GB2312"/>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2、网上挂牌交易</w:t>
      </w:r>
      <w:r>
        <w:rPr>
          <w:rFonts w:hint="eastAsia" w:ascii="仿宋_GB2312" w:hAnsi="仿宋_GB2312" w:eastAsia="仿宋_GB2312" w:cs="仿宋_GB2312"/>
          <w:sz w:val="32"/>
          <w:szCs w:val="32"/>
          <w:highlight w:val="none"/>
          <w:shd w:val="clear" w:color="auto" w:fill="auto"/>
          <w:lang w:val="en-US" w:eastAsia="zh-CN"/>
        </w:rPr>
        <w:t>期限截止时，无人报价的，挂牌不成交</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sz w:val="32"/>
          <w:szCs w:val="32"/>
          <w:highlight w:val="none"/>
          <w:shd w:val="clear" w:color="auto" w:fill="auto"/>
          <w:lang w:val="en-US"/>
        </w:rPr>
      </w:pPr>
      <w:r>
        <w:rPr>
          <w:rFonts w:hint="eastAsia" w:ascii="仿宋_GB2312" w:hAnsi="仿宋_GB2312" w:eastAsia="仿宋_GB2312" w:cs="仿宋_GB2312"/>
          <w:sz w:val="32"/>
          <w:szCs w:val="32"/>
          <w:highlight w:val="none"/>
          <w:shd w:val="clear" w:color="auto" w:fill="auto"/>
        </w:rPr>
        <w:t>3、网上挂牌交易</w:t>
      </w:r>
      <w:r>
        <w:rPr>
          <w:rFonts w:hint="eastAsia" w:ascii="仿宋_GB2312" w:hAnsi="仿宋_GB2312" w:eastAsia="仿宋_GB2312" w:cs="仿宋_GB2312"/>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sz w:val="32"/>
          <w:szCs w:val="32"/>
          <w:highlight w:val="none"/>
          <w:shd w:val="clear" w:color="auto" w:fill="auto"/>
          <w:lang w:val="en-US" w:eastAsia="zh-CN"/>
        </w:rPr>
        <w:t>且报价不低于起始价者</w:t>
      </w:r>
      <w:r>
        <w:rPr>
          <w:rFonts w:hint="eastAsia" w:ascii="仿宋_GB2312" w:hAnsi="仿宋_GB2312" w:eastAsia="仿宋_GB2312" w:cs="仿宋_GB2312"/>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sz w:val="32"/>
          <w:szCs w:val="32"/>
          <w:highlight w:val="none"/>
          <w:shd w:val="clear" w:color="auto" w:fill="auto"/>
          <w:lang w:val="en-US" w:eastAsia="zh-CN"/>
        </w:rPr>
        <w:t>以</w:t>
      </w:r>
      <w:r>
        <w:rPr>
          <w:rFonts w:hint="eastAsia" w:ascii="仿宋_GB2312" w:hAnsi="仿宋_GB2312" w:eastAsia="仿宋_GB2312" w:cs="仿宋_GB2312"/>
          <w:sz w:val="32"/>
          <w:szCs w:val="32"/>
          <w:highlight w:val="none"/>
          <w:shd w:val="clear" w:color="auto" w:fill="auto"/>
        </w:rPr>
        <w:t>网上挂牌交易</w:t>
      </w:r>
      <w:r>
        <w:rPr>
          <w:rFonts w:hint="eastAsia" w:ascii="仿宋_GB2312" w:hAnsi="仿宋_GB2312" w:eastAsia="仿宋_GB2312" w:cs="仿宋_GB2312"/>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w:t>
      </w:r>
      <w:r>
        <w:rPr>
          <w:rFonts w:hint="eastAsia" w:ascii="仿宋_GB2312" w:hAnsi="仿宋_GB2312" w:eastAsia="仿宋_GB2312" w:cs="仿宋_GB2312"/>
          <w:sz w:val="32"/>
          <w:szCs w:val="32"/>
        </w:rPr>
        <w:t>竞得人应当在网上挂牌交易结果公布之日起5个工作日内持公司公章及下列有关纸质材料到本中心，由委托方进行资格审查，符合竞买资格的，竞得人应当在网上挂牌交易结果公布之日起5个工作日内签订《成交确认书》</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（4）</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凭证复印件（加盖公章）</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（6）法定代表人身份证复印件（加盖公章）（二份</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b w:val="0"/>
          <w:bCs w:val="0"/>
          <w:color w:val="000000"/>
          <w:kern w:val="0"/>
          <w:sz w:val="32"/>
          <w:szCs w:val="32"/>
          <w:lang w:val="en-US" w:eastAsia="zh-CN"/>
        </w:rPr>
        <w:t>竞买人</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b w:val="0"/>
          <w:bCs w:val="0"/>
          <w:color w:val="000000"/>
          <w:kern w:val="0"/>
          <w:sz w:val="32"/>
          <w:szCs w:val="32"/>
          <w:lang w:val="en-US" w:eastAsia="zh-CN"/>
        </w:rPr>
        <w:t>惠州市惠城区马安镇人民政府</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w:t>
      </w:r>
      <w:r>
        <w:rPr>
          <w:rFonts w:hint="eastAsia" w:ascii="仿宋_GB2312" w:hAnsi="宋体" w:eastAsia="仿宋_GB2312" w:cs="宋体"/>
          <w:color w:val="auto"/>
          <w:kern w:val="0"/>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rPr>
        <w:t>竞买人须提交</w:t>
      </w:r>
      <w:r>
        <w:rPr>
          <w:rFonts w:hint="eastAsia" w:ascii="仿宋_GB2312" w:hAnsi="仿宋_GB2312" w:eastAsia="仿宋_GB2312" w:cs="仿宋_GB2312"/>
          <w:sz w:val="32"/>
          <w:szCs w:val="32"/>
          <w:lang w:val="en-US" w:eastAsia="zh-CN"/>
        </w:rPr>
        <w:t>惠城区发改局</w:t>
      </w:r>
      <w:r>
        <w:rPr>
          <w:rFonts w:hint="eastAsia" w:ascii="仿宋_GB2312" w:hAnsi="仿宋_GB2312" w:eastAsia="仿宋_GB2312" w:cs="仿宋_GB2312"/>
          <w:sz w:val="32"/>
          <w:szCs w:val="32"/>
        </w:rPr>
        <w:t>出具的与该宗地块产业类型一致的优先发展产业项目文件</w:t>
      </w:r>
      <w:r>
        <w:rPr>
          <w:rFonts w:hint="eastAsia" w:ascii="仿宋_GB2312" w:hAnsi="仿宋_GB2312" w:eastAsia="仿宋_GB2312" w:cs="仿宋_GB2312"/>
          <w:kern w:val="0"/>
          <w:sz w:val="32"/>
          <w:szCs w:val="32"/>
          <w:highlight w:val="none"/>
          <w:shd w:val="clear" w:color="auto" w:fill="auto"/>
          <w:lang w:val="en-US" w:eastAsia="zh-CN"/>
        </w:rPr>
        <w:t>。</w:t>
      </w:r>
    </w:p>
    <w:p>
      <w:pPr>
        <w:pStyle w:val="2"/>
        <w:shd w:val="clear"/>
        <w:ind w:left="0" w:leftChars="0" w:firstLine="640" w:firstLineChars="200"/>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val="en-US" w:eastAsia="zh-CN"/>
        </w:rPr>
        <w:t>（11）竞买</w:t>
      </w:r>
      <w:r>
        <w:rPr>
          <w:rFonts w:hint="eastAsia" w:ascii="仿宋_GB2312" w:hAnsi="仿宋_GB2312" w:eastAsia="仿宋_GB2312" w:cs="仿宋_GB2312"/>
          <w:sz w:val="32"/>
          <w:szCs w:val="32"/>
          <w:highlight w:val="none"/>
          <w:shd w:val="clear" w:color="auto" w:fill="auto"/>
        </w:rPr>
        <w:t>人及其控股股东</w:t>
      </w:r>
      <w:r>
        <w:rPr>
          <w:rFonts w:hint="eastAsia" w:ascii="仿宋_GB2312" w:hAnsi="仿宋_GB2312" w:eastAsia="仿宋_GB2312" w:cs="仿宋_GB2312"/>
          <w:sz w:val="32"/>
          <w:szCs w:val="32"/>
          <w:highlight w:val="none"/>
          <w:shd w:val="clear" w:color="auto" w:fill="auto"/>
          <w:lang w:val="en-US" w:eastAsia="zh-CN"/>
        </w:rPr>
        <w:t>不</w:t>
      </w:r>
      <w:r>
        <w:rPr>
          <w:rFonts w:hint="eastAsia" w:ascii="仿宋_GB2312" w:hAnsi="仿宋_GB2312" w:eastAsia="仿宋_GB2312" w:cs="仿宋_GB2312"/>
          <w:sz w:val="32"/>
          <w:szCs w:val="32"/>
          <w:highlight w:val="none"/>
          <w:shd w:val="clear" w:color="auto" w:fill="auto"/>
        </w:rPr>
        <w:t>存在违法、违规、违约行为的</w:t>
      </w:r>
      <w:r>
        <w:rPr>
          <w:rFonts w:hint="eastAsia" w:ascii="仿宋_GB2312" w:hAnsi="仿宋_GB2312" w:eastAsia="仿宋_GB2312" w:cs="仿宋_GB2312"/>
          <w:sz w:val="32"/>
          <w:szCs w:val="32"/>
          <w:highlight w:val="none"/>
          <w:shd w:val="clear" w:color="auto" w:fill="auto"/>
          <w:lang w:val="en-US" w:eastAsia="zh-CN"/>
        </w:rPr>
        <w:t>承诺书</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上述第（</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竞买人如需保存上述竞买报名资料应自留备份，本中心不予退还。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上述文件中，申请书必须用中文书写，其他文件可以使用其它语言，但必须附中文译本，所有文件的解释以中文译本为准。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7" w:name="108"/>
      <w:r>
        <w:rPr>
          <w:rFonts w:hint="eastAsia" w:ascii="仿宋_GB2312" w:hAnsi="仿宋_GB2312" w:eastAsia="仿宋_GB2312" w:cs="仿宋_GB2312"/>
          <w:b/>
          <w:bCs/>
          <w:sz w:val="32"/>
          <w:szCs w:val="32"/>
          <w:highlight w:val="none"/>
          <w:shd w:val="clear" w:color="auto" w:fill="auto"/>
        </w:rPr>
        <w:t>十六、</w:t>
      </w:r>
      <w:bookmarkEnd w:id="7"/>
      <w:r>
        <w:rPr>
          <w:rFonts w:hint="eastAsia" w:ascii="仿宋_GB2312" w:hAnsi="仿宋_GB2312" w:eastAsia="仿宋_GB2312" w:cs="仿宋_GB2312"/>
          <w:b/>
          <w:bCs/>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（二）本次国有建设用地使用权网上挂牌出让为无底价挂牌出让，按照价高者得的原则确定竞得人。</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ascii="仿宋_GB2312" w:hAnsi="仿宋_GB2312" w:eastAsia="仿宋_GB2312" w:cs="仿宋_GB2312"/>
          <w:sz w:val="32"/>
          <w:szCs w:val="32"/>
          <w:highlight w:val="none"/>
          <w:shd w:val="clear" w:color="auto" w:fill="auto"/>
        </w:rPr>
      </w:pPr>
      <w:r>
        <w:rPr>
          <w:rFonts w:hint="eastAsia" w:hAnsi="仿宋_GB2312" w:cs="仿宋_GB2312"/>
          <w:szCs w:val="32"/>
        </w:rPr>
        <w:t>（</w:t>
      </w:r>
      <w:r>
        <w:rPr>
          <w:rFonts w:hint="eastAsia" w:hAnsi="仿宋_GB2312" w:cs="仿宋_GB2312"/>
          <w:szCs w:val="32"/>
          <w:lang w:val="en-US" w:eastAsia="zh-CN"/>
        </w:rPr>
        <w:t>四</w:t>
      </w:r>
      <w:r>
        <w:rPr>
          <w:rFonts w:hint="eastAsia" w:hAnsi="仿宋_GB2312" w:cs="仿宋_GB231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）确定竞得人后，竞得人持《</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网上挂牌系统确定成交后，竞得人缴纳的竞买保证金按</w:t>
      </w:r>
      <w:r>
        <w:rPr>
          <w:rFonts w:hint="eastAsia" w:ascii="仿宋_GB2312" w:hAnsi="仿宋_GB2312" w:eastAsia="仿宋_GB2312" w:cs="仿宋_GB2312"/>
          <w:sz w:val="32"/>
          <w:szCs w:val="32"/>
          <w:highlight w:val="none"/>
          <w:shd w:val="clear" w:color="auto" w:fill="auto"/>
          <w:lang w:val="en-US" w:eastAsia="zh-CN"/>
        </w:rPr>
        <w:t>成交价的</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sz w:val="32"/>
          <w:szCs w:val="32"/>
          <w:highlight w:val="none"/>
          <w:shd w:val="clear" w:color="auto" w:fill="auto"/>
          <w:lang w:val="en-US" w:eastAsia="zh-CN"/>
        </w:rPr>
        <w:t>转作</w:t>
      </w:r>
      <w:r>
        <w:rPr>
          <w:rFonts w:hint="eastAsia" w:ascii="仿宋_GB2312" w:hAnsi="仿宋_GB2312" w:eastAsia="仿宋_GB2312" w:cs="仿宋_GB2312"/>
          <w:sz w:val="32"/>
          <w:szCs w:val="32"/>
          <w:highlight w:val="none"/>
          <w:shd w:val="clear" w:color="auto" w:fill="auto"/>
        </w:rPr>
        <w:t>定金</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如</w:t>
      </w:r>
      <w:r>
        <w:rPr>
          <w:rFonts w:hint="eastAsia" w:ascii="仿宋_GB2312" w:hAnsi="仿宋_GB2312" w:eastAsia="仿宋_GB2312" w:cs="仿宋_GB2312"/>
          <w:sz w:val="32"/>
          <w:szCs w:val="32"/>
          <w:highlight w:val="none"/>
          <w:shd w:val="clear" w:color="auto" w:fill="auto"/>
          <w:lang w:eastAsia="zh-CN"/>
        </w:rPr>
        <w:t>竞买保证金</w:t>
      </w:r>
      <w:r>
        <w:rPr>
          <w:rFonts w:hint="eastAsia" w:ascii="仿宋_GB2312" w:hAnsi="仿宋_GB2312" w:eastAsia="仿宋_GB2312" w:cs="仿宋_GB2312"/>
          <w:sz w:val="32"/>
          <w:szCs w:val="32"/>
          <w:highlight w:val="none"/>
          <w:shd w:val="clear" w:color="auto" w:fill="auto"/>
          <w:lang w:val="en-US" w:eastAsia="zh-CN"/>
        </w:rPr>
        <w:t>不足以缴纳定金，</w:t>
      </w:r>
      <w:r>
        <w:rPr>
          <w:rFonts w:hint="eastAsia" w:ascii="仿宋_GB2312" w:hAnsi="仿宋_GB2312" w:eastAsia="仿宋_GB2312" w:cs="仿宋_GB2312"/>
          <w:sz w:val="32"/>
          <w:szCs w:val="32"/>
          <w:highlight w:val="none"/>
          <w:shd w:val="clear" w:color="auto" w:fill="auto"/>
        </w:rPr>
        <w:t>不足部分在交易系统确定成交之日起5个工作日内补齐</w:t>
      </w:r>
      <w:r>
        <w:rPr>
          <w:rFonts w:hint="eastAsia" w:ascii="仿宋_GB2312" w:hAnsi="仿宋_GB2312" w:eastAsia="仿宋_GB2312" w:cs="仿宋_GB2312"/>
          <w:sz w:val="32"/>
          <w:szCs w:val="32"/>
          <w:highlight w:val="none"/>
          <w:shd w:val="clear" w:color="auto" w:fill="auto"/>
          <w:lang w:eastAsia="zh-CN"/>
        </w:rPr>
        <w:t>；如竞买保证金转作定金</w:t>
      </w:r>
      <w:r>
        <w:rPr>
          <w:rFonts w:hint="eastAsia" w:ascii="仿宋_GB2312" w:hAnsi="仿宋_GB2312" w:eastAsia="仿宋_GB2312" w:cs="仿宋_GB2312"/>
          <w:sz w:val="32"/>
          <w:szCs w:val="32"/>
          <w:highlight w:val="none"/>
          <w:shd w:val="clear" w:color="auto" w:fill="auto"/>
          <w:lang w:val="en-US" w:eastAsia="zh-CN"/>
        </w:rPr>
        <w:t>后有剩余</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余额抵作</w:t>
      </w:r>
      <w:r>
        <w:rPr>
          <w:rFonts w:hint="eastAsia" w:ascii="仿宋_GB2312" w:hAnsi="仿宋_GB2312" w:eastAsia="仿宋_GB2312" w:cs="仿宋_GB2312"/>
          <w:sz w:val="32"/>
          <w:szCs w:val="32"/>
          <w:highlight w:val="none"/>
          <w:shd w:val="clear" w:color="auto" w:fill="auto"/>
          <w:lang w:val="en-US" w:eastAsia="zh-CN"/>
        </w:rPr>
        <w:t>土地</w:t>
      </w:r>
      <w:r>
        <w:rPr>
          <w:rFonts w:hint="eastAsia" w:ascii="仿宋_GB2312" w:hAnsi="仿宋_GB2312" w:eastAsia="仿宋_GB2312" w:cs="仿宋_GB2312"/>
          <w:sz w:val="32"/>
          <w:szCs w:val="32"/>
          <w:highlight w:val="none"/>
          <w:shd w:val="clear" w:color="auto" w:fill="auto"/>
        </w:rPr>
        <w:t>成交价</w:t>
      </w:r>
      <w:r>
        <w:rPr>
          <w:rFonts w:hint="eastAsia" w:ascii="仿宋_GB2312" w:hAnsi="仿宋_GB2312" w:eastAsia="仿宋_GB2312" w:cs="仿宋_GB2312"/>
          <w:sz w:val="32"/>
          <w:szCs w:val="32"/>
          <w:highlight w:val="none"/>
          <w:shd w:val="clear" w:color="auto" w:fill="auto"/>
          <w:lang w:val="en-US" w:eastAsia="zh-CN"/>
        </w:rPr>
        <w:t>的预付</w:t>
      </w:r>
      <w:r>
        <w:rPr>
          <w:rFonts w:hint="eastAsia" w:ascii="仿宋_GB2312" w:hAnsi="仿宋_GB2312" w:eastAsia="仿宋_GB2312" w:cs="仿宋_GB2312"/>
          <w:sz w:val="32"/>
          <w:szCs w:val="32"/>
          <w:highlight w:val="none"/>
          <w:shd w:val="clear" w:color="auto" w:fill="auto"/>
        </w:rPr>
        <w:t>款</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sz w:val="32"/>
          <w:szCs w:val="32"/>
          <w:lang w:val="en-US" w:eastAsia="zh-CN"/>
        </w:rPr>
        <w:t>。</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八</w:t>
      </w:r>
      <w:r>
        <w:rPr>
          <w:rFonts w:hint="eastAsia" w:ascii="仿宋_GB2312" w:hAnsi="仿宋_GB2312" w:eastAsia="仿宋_GB2312" w:cs="仿宋_GB2312"/>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eastAsia="仿宋_GB2312"/>
          <w:sz w:val="32"/>
          <w:szCs w:val="32"/>
          <w:highlight w:val="none"/>
          <w:shd w:val="clear" w:color="auto" w:fill="auto"/>
        </w:rPr>
        <w:t>6、</w:t>
      </w:r>
      <w:r>
        <w:rPr>
          <w:rFonts w:hint="eastAsia" w:ascii="仿宋_GB2312" w:eastAsia="仿宋_GB2312"/>
          <w:sz w:val="32"/>
          <w:szCs w:val="32"/>
          <w:highlight w:val="none"/>
          <w:shd w:val="clear" w:color="auto" w:fill="auto"/>
          <w:lang w:val="en-US" w:eastAsia="zh-CN"/>
        </w:rPr>
        <w:t>惠州</w:t>
      </w:r>
      <w:r>
        <w:rPr>
          <w:rFonts w:hint="eastAsia" w:ascii="仿宋_GB2312" w:eastAsia="仿宋_GB2312"/>
          <w:sz w:val="32"/>
          <w:szCs w:val="32"/>
          <w:highlight w:val="none"/>
          <w:shd w:val="clear" w:color="auto" w:fill="auto"/>
        </w:rPr>
        <w:t>市</w:t>
      </w:r>
      <w:r>
        <w:rPr>
          <w:rFonts w:hint="eastAsia" w:ascii="仿宋_GB2312" w:eastAsia="仿宋_GB2312"/>
          <w:sz w:val="32"/>
          <w:szCs w:val="32"/>
          <w:highlight w:val="none"/>
          <w:shd w:val="clear" w:color="auto" w:fill="auto"/>
          <w:lang w:val="en-US" w:eastAsia="zh-CN"/>
        </w:rPr>
        <w:t>惠城区</w:t>
      </w:r>
      <w:r>
        <w:rPr>
          <w:rFonts w:hint="eastAsia" w:ascii="仿宋_GB2312" w:eastAsia="仿宋_GB2312"/>
          <w:sz w:val="32"/>
          <w:szCs w:val="32"/>
          <w:highlight w:val="none"/>
          <w:shd w:val="clear" w:color="auto" w:fill="auto"/>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九</w:t>
      </w:r>
      <w:r>
        <w:rPr>
          <w:rFonts w:hint="eastAsia" w:ascii="仿宋_GB2312" w:hAnsi="仿宋_GB2312" w:eastAsia="仿宋_GB2312" w:cs="仿宋_GB2312"/>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eastAsia="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一</w:t>
      </w:r>
      <w:r>
        <w:rPr>
          <w:rFonts w:hint="eastAsia" w:ascii="仿宋_GB2312" w:hAnsi="仿宋_GB2312" w:eastAsia="仿宋_GB2312" w:cs="仿宋_GB2312"/>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）本中心对本《须知》有解释权。未尽事宜依照《招标拍卖挂牌出让国有土地使用权规范》办理。</w:t>
      </w:r>
    </w:p>
    <w:p>
      <w:pPr>
        <w:pStyle w:val="2"/>
        <w:rPr>
          <w:rFonts w:hint="eastAsia" w:ascii="仿宋_GB2312" w:hAnsi="仿宋_GB2312" w:eastAsia="仿宋_GB2312" w:cs="仿宋_GB2312"/>
          <w:sz w:val="32"/>
          <w:szCs w:val="32"/>
          <w:highlight w:val="none"/>
          <w:shd w:val="clear" w:color="auto" w:fill="auto"/>
        </w:rPr>
      </w:pPr>
    </w:p>
    <w:p>
      <w:pPr>
        <w:pStyle w:val="2"/>
        <w:rPr>
          <w:rFonts w:hint="eastAsia" w:ascii="仿宋_GB2312" w:hAnsi="仿宋_GB2312" w:eastAsia="仿宋_GB2312" w:cs="仿宋_GB2312"/>
          <w:sz w:val="32"/>
          <w:szCs w:val="32"/>
          <w:highlight w:val="none"/>
          <w:shd w:val="clear" w:color="auto" w:fill="auto"/>
        </w:rPr>
      </w:pPr>
    </w:p>
    <w:p>
      <w:pPr>
        <w:shd w:val="clear"/>
        <w:tabs>
          <w:tab w:val="left" w:pos="3388"/>
        </w:tabs>
        <w:ind w:firstLine="4640" w:firstLineChars="14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bookmarkStart w:id="8" w:name="_GoBack"/>
      <w:bookmarkEnd w:id="8"/>
      <w:r>
        <w:rPr>
          <w:rFonts w:hint="eastAsia" w:ascii="仿宋_GB2312" w:hAnsi="仿宋_GB2312" w:eastAsia="仿宋_GB2312" w:cs="仿宋_GB2312"/>
          <w:color w:val="auto"/>
          <w:sz w:val="32"/>
          <w:szCs w:val="32"/>
          <w:highlight w:val="none"/>
          <w:shd w:val="clear" w:color="auto" w:fill="auto"/>
          <w:lang w:val="en-US" w:eastAsia="zh-CN"/>
        </w:rPr>
        <w:t>2022年5月13日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B51C7D"/>
    <w:rsid w:val="023476A4"/>
    <w:rsid w:val="02924845"/>
    <w:rsid w:val="031A11BD"/>
    <w:rsid w:val="03590306"/>
    <w:rsid w:val="03913E5D"/>
    <w:rsid w:val="042C6BAB"/>
    <w:rsid w:val="04BB2A35"/>
    <w:rsid w:val="04F7599A"/>
    <w:rsid w:val="05280DC9"/>
    <w:rsid w:val="054F511E"/>
    <w:rsid w:val="05616BEE"/>
    <w:rsid w:val="05AA6043"/>
    <w:rsid w:val="062E1CCB"/>
    <w:rsid w:val="065D58C0"/>
    <w:rsid w:val="06E22DF8"/>
    <w:rsid w:val="06E74C34"/>
    <w:rsid w:val="071F73B3"/>
    <w:rsid w:val="077D5D24"/>
    <w:rsid w:val="07B81681"/>
    <w:rsid w:val="07F629A0"/>
    <w:rsid w:val="081471A1"/>
    <w:rsid w:val="091E26EA"/>
    <w:rsid w:val="09317644"/>
    <w:rsid w:val="097F0039"/>
    <w:rsid w:val="0A771CCA"/>
    <w:rsid w:val="0A812477"/>
    <w:rsid w:val="0B1406EF"/>
    <w:rsid w:val="0C40433F"/>
    <w:rsid w:val="0C8642BF"/>
    <w:rsid w:val="0D261A5B"/>
    <w:rsid w:val="0D8F1175"/>
    <w:rsid w:val="0DCB3B54"/>
    <w:rsid w:val="0F0E558C"/>
    <w:rsid w:val="0FB217AF"/>
    <w:rsid w:val="0FB2799E"/>
    <w:rsid w:val="10152918"/>
    <w:rsid w:val="105A2768"/>
    <w:rsid w:val="105C6B40"/>
    <w:rsid w:val="10A1573B"/>
    <w:rsid w:val="10B43BC1"/>
    <w:rsid w:val="111E117E"/>
    <w:rsid w:val="11A17A14"/>
    <w:rsid w:val="12295A9F"/>
    <w:rsid w:val="141106B3"/>
    <w:rsid w:val="14924D3E"/>
    <w:rsid w:val="14D40026"/>
    <w:rsid w:val="15BB632B"/>
    <w:rsid w:val="15C4392F"/>
    <w:rsid w:val="15D340EA"/>
    <w:rsid w:val="16615977"/>
    <w:rsid w:val="168C318D"/>
    <w:rsid w:val="16AE6DA7"/>
    <w:rsid w:val="170F4C1C"/>
    <w:rsid w:val="1729355A"/>
    <w:rsid w:val="17DA4A92"/>
    <w:rsid w:val="18220C10"/>
    <w:rsid w:val="19546A32"/>
    <w:rsid w:val="1960257D"/>
    <w:rsid w:val="19D941D6"/>
    <w:rsid w:val="1B002CF4"/>
    <w:rsid w:val="1C431BA6"/>
    <w:rsid w:val="1CB6407B"/>
    <w:rsid w:val="1D717DCD"/>
    <w:rsid w:val="1DE56E00"/>
    <w:rsid w:val="1E46102C"/>
    <w:rsid w:val="1E4A3E3B"/>
    <w:rsid w:val="1E9B31A0"/>
    <w:rsid w:val="1ED73189"/>
    <w:rsid w:val="1F1E4268"/>
    <w:rsid w:val="1F2C083B"/>
    <w:rsid w:val="1F2C5616"/>
    <w:rsid w:val="20855E22"/>
    <w:rsid w:val="21587C67"/>
    <w:rsid w:val="22463965"/>
    <w:rsid w:val="2249566B"/>
    <w:rsid w:val="22661D8C"/>
    <w:rsid w:val="22DC01FC"/>
    <w:rsid w:val="23141DA3"/>
    <w:rsid w:val="232532AD"/>
    <w:rsid w:val="23743808"/>
    <w:rsid w:val="247C6354"/>
    <w:rsid w:val="251442C4"/>
    <w:rsid w:val="259D34B7"/>
    <w:rsid w:val="25D63F7C"/>
    <w:rsid w:val="25E51360"/>
    <w:rsid w:val="25E54340"/>
    <w:rsid w:val="26391FD0"/>
    <w:rsid w:val="26741665"/>
    <w:rsid w:val="272C05B0"/>
    <w:rsid w:val="281D1027"/>
    <w:rsid w:val="282C1E6E"/>
    <w:rsid w:val="28D2352A"/>
    <w:rsid w:val="28ED736B"/>
    <w:rsid w:val="29220F8B"/>
    <w:rsid w:val="29DE5841"/>
    <w:rsid w:val="2A4D2521"/>
    <w:rsid w:val="2A636D11"/>
    <w:rsid w:val="2AA45603"/>
    <w:rsid w:val="2B1A2077"/>
    <w:rsid w:val="2CA246FC"/>
    <w:rsid w:val="2CAE2771"/>
    <w:rsid w:val="2CD752D7"/>
    <w:rsid w:val="2D027EED"/>
    <w:rsid w:val="2D2632FD"/>
    <w:rsid w:val="2DEB4267"/>
    <w:rsid w:val="2F0337D6"/>
    <w:rsid w:val="2F944F64"/>
    <w:rsid w:val="2FA2409E"/>
    <w:rsid w:val="2FF86BFA"/>
    <w:rsid w:val="30AC5587"/>
    <w:rsid w:val="30DB33EE"/>
    <w:rsid w:val="313D23E2"/>
    <w:rsid w:val="31880862"/>
    <w:rsid w:val="31B60A9D"/>
    <w:rsid w:val="324E22EE"/>
    <w:rsid w:val="333136E8"/>
    <w:rsid w:val="33A33367"/>
    <w:rsid w:val="33CE0AAA"/>
    <w:rsid w:val="34836833"/>
    <w:rsid w:val="34B40523"/>
    <w:rsid w:val="34C41D04"/>
    <w:rsid w:val="34CD617E"/>
    <w:rsid w:val="351875C2"/>
    <w:rsid w:val="3588604B"/>
    <w:rsid w:val="360B04FE"/>
    <w:rsid w:val="361C1DB9"/>
    <w:rsid w:val="378C6660"/>
    <w:rsid w:val="37FB7A76"/>
    <w:rsid w:val="38703C12"/>
    <w:rsid w:val="38A76E9E"/>
    <w:rsid w:val="38DE5E51"/>
    <w:rsid w:val="390E539D"/>
    <w:rsid w:val="3B06746C"/>
    <w:rsid w:val="3C4A4143"/>
    <w:rsid w:val="3C5E598F"/>
    <w:rsid w:val="3C8F0E4F"/>
    <w:rsid w:val="3CAD2EC5"/>
    <w:rsid w:val="3CB73FDF"/>
    <w:rsid w:val="3CB81CC8"/>
    <w:rsid w:val="3D322E34"/>
    <w:rsid w:val="3D34683B"/>
    <w:rsid w:val="3D5E1016"/>
    <w:rsid w:val="3DAA567B"/>
    <w:rsid w:val="3F3F4FAD"/>
    <w:rsid w:val="3FB91BA4"/>
    <w:rsid w:val="3FC22752"/>
    <w:rsid w:val="40D96852"/>
    <w:rsid w:val="418879B1"/>
    <w:rsid w:val="41CE7F2A"/>
    <w:rsid w:val="41EE5FAA"/>
    <w:rsid w:val="420B00A8"/>
    <w:rsid w:val="421630A4"/>
    <w:rsid w:val="43010898"/>
    <w:rsid w:val="432B1A76"/>
    <w:rsid w:val="43E840B4"/>
    <w:rsid w:val="43EC1655"/>
    <w:rsid w:val="440C4340"/>
    <w:rsid w:val="4442558E"/>
    <w:rsid w:val="445575FB"/>
    <w:rsid w:val="44811DC9"/>
    <w:rsid w:val="44D36207"/>
    <w:rsid w:val="44E94EB4"/>
    <w:rsid w:val="450E3C66"/>
    <w:rsid w:val="454309A1"/>
    <w:rsid w:val="458C06A8"/>
    <w:rsid w:val="45C47203"/>
    <w:rsid w:val="45E829E7"/>
    <w:rsid w:val="465E4F22"/>
    <w:rsid w:val="467262F8"/>
    <w:rsid w:val="46DA05EA"/>
    <w:rsid w:val="46F579AB"/>
    <w:rsid w:val="48566E44"/>
    <w:rsid w:val="48593E6F"/>
    <w:rsid w:val="48B510E7"/>
    <w:rsid w:val="49076A91"/>
    <w:rsid w:val="493B6F1B"/>
    <w:rsid w:val="4AFF2E69"/>
    <w:rsid w:val="4B8E7FA9"/>
    <w:rsid w:val="4BA610FC"/>
    <w:rsid w:val="4BC3115D"/>
    <w:rsid w:val="4BEE1CA4"/>
    <w:rsid w:val="4CF51C39"/>
    <w:rsid w:val="4D1F6077"/>
    <w:rsid w:val="4DC8070E"/>
    <w:rsid w:val="4ED2701A"/>
    <w:rsid w:val="4F1E4BBE"/>
    <w:rsid w:val="4F3537ED"/>
    <w:rsid w:val="4FFE1B2F"/>
    <w:rsid w:val="51467837"/>
    <w:rsid w:val="51660328"/>
    <w:rsid w:val="52132F5D"/>
    <w:rsid w:val="528F1625"/>
    <w:rsid w:val="52AA5DFE"/>
    <w:rsid w:val="533F6C66"/>
    <w:rsid w:val="544F17E9"/>
    <w:rsid w:val="546D5003"/>
    <w:rsid w:val="54943EAC"/>
    <w:rsid w:val="54C11818"/>
    <w:rsid w:val="55943151"/>
    <w:rsid w:val="57D00A5F"/>
    <w:rsid w:val="58AC5C79"/>
    <w:rsid w:val="58B217DC"/>
    <w:rsid w:val="58D036D7"/>
    <w:rsid w:val="58FE24B1"/>
    <w:rsid w:val="59480E68"/>
    <w:rsid w:val="59693A9B"/>
    <w:rsid w:val="5A154FE3"/>
    <w:rsid w:val="5AEE4F52"/>
    <w:rsid w:val="5B0C2732"/>
    <w:rsid w:val="5B1D2CCC"/>
    <w:rsid w:val="5B52670E"/>
    <w:rsid w:val="5B625B54"/>
    <w:rsid w:val="5B640509"/>
    <w:rsid w:val="5B8E3054"/>
    <w:rsid w:val="5BA7715F"/>
    <w:rsid w:val="5C2A6903"/>
    <w:rsid w:val="5C943765"/>
    <w:rsid w:val="5CA3266E"/>
    <w:rsid w:val="5D006096"/>
    <w:rsid w:val="5D731ABE"/>
    <w:rsid w:val="5DB15592"/>
    <w:rsid w:val="5DF81F1B"/>
    <w:rsid w:val="5DFB50B1"/>
    <w:rsid w:val="5E2E0948"/>
    <w:rsid w:val="5EE41DB0"/>
    <w:rsid w:val="6002308D"/>
    <w:rsid w:val="600D408B"/>
    <w:rsid w:val="610A5EBF"/>
    <w:rsid w:val="61245A3C"/>
    <w:rsid w:val="6178185B"/>
    <w:rsid w:val="617F00E3"/>
    <w:rsid w:val="61C04C47"/>
    <w:rsid w:val="61C170AA"/>
    <w:rsid w:val="61D82B90"/>
    <w:rsid w:val="626D5569"/>
    <w:rsid w:val="62D03E81"/>
    <w:rsid w:val="62D41879"/>
    <w:rsid w:val="6398078D"/>
    <w:rsid w:val="641A28B3"/>
    <w:rsid w:val="648A18F5"/>
    <w:rsid w:val="64C30585"/>
    <w:rsid w:val="651C53A6"/>
    <w:rsid w:val="656B5E9D"/>
    <w:rsid w:val="659D6FA9"/>
    <w:rsid w:val="65F2007E"/>
    <w:rsid w:val="66C13377"/>
    <w:rsid w:val="67927D39"/>
    <w:rsid w:val="67EE0FCE"/>
    <w:rsid w:val="68085778"/>
    <w:rsid w:val="688B43B5"/>
    <w:rsid w:val="68E63F59"/>
    <w:rsid w:val="69B07B1E"/>
    <w:rsid w:val="69E22ED5"/>
    <w:rsid w:val="6A15326A"/>
    <w:rsid w:val="6A57213E"/>
    <w:rsid w:val="6A7328F5"/>
    <w:rsid w:val="6AA821A5"/>
    <w:rsid w:val="6B8A6BF3"/>
    <w:rsid w:val="6BFA1460"/>
    <w:rsid w:val="6C013F77"/>
    <w:rsid w:val="6C181FB4"/>
    <w:rsid w:val="6C197CDD"/>
    <w:rsid w:val="6C5A6DDE"/>
    <w:rsid w:val="6C611252"/>
    <w:rsid w:val="6CCC1A8E"/>
    <w:rsid w:val="6D180287"/>
    <w:rsid w:val="6E1E50A4"/>
    <w:rsid w:val="6FCE2720"/>
    <w:rsid w:val="7020680D"/>
    <w:rsid w:val="705B684C"/>
    <w:rsid w:val="713D7851"/>
    <w:rsid w:val="714F5518"/>
    <w:rsid w:val="71AB46C8"/>
    <w:rsid w:val="72CC1A29"/>
    <w:rsid w:val="74CC0B4E"/>
    <w:rsid w:val="74D35F13"/>
    <w:rsid w:val="750967A6"/>
    <w:rsid w:val="755C76C8"/>
    <w:rsid w:val="75E43E25"/>
    <w:rsid w:val="76382CBE"/>
    <w:rsid w:val="76B47A3E"/>
    <w:rsid w:val="77A91566"/>
    <w:rsid w:val="77E167B8"/>
    <w:rsid w:val="78591F3E"/>
    <w:rsid w:val="78CA1EAE"/>
    <w:rsid w:val="790D30EF"/>
    <w:rsid w:val="792409A3"/>
    <w:rsid w:val="7A881483"/>
    <w:rsid w:val="7A962112"/>
    <w:rsid w:val="7AE44F5D"/>
    <w:rsid w:val="7B3065F7"/>
    <w:rsid w:val="7B4F2E9A"/>
    <w:rsid w:val="7B6677F6"/>
    <w:rsid w:val="7B8363CD"/>
    <w:rsid w:val="7B8617A5"/>
    <w:rsid w:val="7D5207DE"/>
    <w:rsid w:val="7E857972"/>
    <w:rsid w:val="7F111F6F"/>
    <w:rsid w:val="7F9A6CB7"/>
    <w:rsid w:val="7FB9162C"/>
    <w:rsid w:val="7FE000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color w:val="555555"/>
      <w:sz w:val="21"/>
      <w:szCs w:val="21"/>
      <w:bdr w:val="single" w:color="CCCCCC" w:sz="6" w:space="0"/>
      <w:shd w:val="clear" w:fill="EEEEEE"/>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 w:type="character" w:customStyle="1" w:styleId="23">
    <w:name w:val="actspan2"/>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6</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袁秀玲</cp:lastModifiedBy>
  <cp:lastPrinted>2022-05-13T03:17:00Z</cp:lastPrinted>
  <dcterms:modified xsi:type="dcterms:W3CDTF">2022-05-16T01:36:23Z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844A8BE9FF7B4045B1B05C09266726FC</vt:lpwstr>
  </property>
</Properties>
</file>